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A354" w14:textId="1153BB28" w:rsidR="007565FF" w:rsidRDefault="00CA1D6C" w:rsidP="00CA1D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D6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A131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A1D6C">
        <w:rPr>
          <w:rFonts w:ascii="Times New Roman" w:hAnsi="Times New Roman" w:cs="Times New Roman"/>
          <w:b/>
          <w:sz w:val="24"/>
          <w:szCs w:val="24"/>
          <w:u w:val="single"/>
        </w:rPr>
        <w:t xml:space="preserve"> SUMMARY OF TAX CHANGES AND GUIDELINES</w:t>
      </w:r>
    </w:p>
    <w:p w14:paraId="22A47AAF" w14:textId="1B0340A0" w:rsidR="00CA1D6C" w:rsidRDefault="00CA1D6C" w:rsidP="00CA1D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7A9C02" w14:textId="30B5073E" w:rsidR="00CA1D6C" w:rsidRPr="005F38F6" w:rsidRDefault="00CA1D6C" w:rsidP="00CA1D6C">
      <w:pPr>
        <w:shd w:val="clear" w:color="auto" w:fill="FFFFFF"/>
        <w:spacing w:before="300" w:after="150" w:line="390" w:lineRule="atLeast"/>
        <w:outlineLvl w:val="2"/>
        <w:rPr>
          <w:rFonts w:ascii="Helvetica" w:eastAsia="Times New Roman" w:hAnsi="Helvetica" w:cs="Times New Roman"/>
          <w:b/>
          <w:bCs/>
          <w:color w:val="393A3D"/>
          <w:sz w:val="27"/>
          <w:szCs w:val="27"/>
        </w:rPr>
      </w:pPr>
      <w:r w:rsidRPr="005F38F6">
        <w:rPr>
          <w:rFonts w:ascii="Helvetica" w:eastAsia="Times New Roman" w:hAnsi="Helvetica" w:cs="Times New Roman"/>
          <w:b/>
          <w:bCs/>
          <w:color w:val="393A3D"/>
          <w:sz w:val="27"/>
          <w:szCs w:val="27"/>
        </w:rPr>
        <w:t>Tax Rates</w:t>
      </w:r>
    </w:p>
    <w:p w14:paraId="3065B203" w14:textId="24C86356" w:rsidR="00CA1D6C" w:rsidRPr="005F38F6" w:rsidRDefault="00CA1D6C" w:rsidP="00CA1D6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93A3D"/>
          <w:sz w:val="24"/>
          <w:szCs w:val="24"/>
        </w:rPr>
      </w:pPr>
      <w:r w:rsidRPr="005F38F6">
        <w:rPr>
          <w:rFonts w:ascii="Helvetica" w:eastAsia="Times New Roman" w:hAnsi="Helvetica" w:cs="Times New Roman"/>
          <w:color w:val="393A3D"/>
          <w:sz w:val="24"/>
          <w:szCs w:val="24"/>
        </w:rPr>
        <w:t>The</w:t>
      </w:r>
      <w:r w:rsidR="003A1314" w:rsidRPr="005F38F6">
        <w:rPr>
          <w:rFonts w:ascii="Helvetica" w:eastAsia="Times New Roman" w:hAnsi="Helvetica" w:cs="Times New Roman"/>
          <w:color w:val="393A3D"/>
          <w:sz w:val="24"/>
          <w:szCs w:val="24"/>
        </w:rPr>
        <w:t>re have been no changes to the tax brackets for the tax year 2020. The</w:t>
      </w:r>
      <w:r w:rsidRPr="005F38F6">
        <w:rPr>
          <w:rFonts w:ascii="Helvetica" w:eastAsia="Times New Roman" w:hAnsi="Helvetica" w:cs="Times New Roman"/>
          <w:color w:val="393A3D"/>
          <w:sz w:val="24"/>
          <w:szCs w:val="24"/>
        </w:rPr>
        <w:t xml:space="preserve"> seven tax </w:t>
      </w:r>
      <w:r w:rsidR="003A1314" w:rsidRPr="005F38F6">
        <w:rPr>
          <w:rFonts w:ascii="Helvetica" w:eastAsia="Times New Roman" w:hAnsi="Helvetica" w:cs="Times New Roman"/>
          <w:color w:val="393A3D"/>
          <w:sz w:val="24"/>
          <w:szCs w:val="24"/>
        </w:rPr>
        <w:t>b</w:t>
      </w:r>
      <w:r w:rsidRPr="005F38F6">
        <w:rPr>
          <w:rFonts w:ascii="Helvetica" w:eastAsia="Times New Roman" w:hAnsi="Helvetica" w:cs="Times New Roman"/>
          <w:color w:val="393A3D"/>
          <w:sz w:val="24"/>
          <w:szCs w:val="24"/>
        </w:rPr>
        <w:t xml:space="preserve">rackets </w:t>
      </w:r>
      <w:r w:rsidR="003A1314" w:rsidRPr="005F38F6">
        <w:rPr>
          <w:rFonts w:ascii="Helvetica" w:eastAsia="Times New Roman" w:hAnsi="Helvetica" w:cs="Times New Roman"/>
          <w:color w:val="393A3D"/>
          <w:sz w:val="24"/>
          <w:szCs w:val="24"/>
        </w:rPr>
        <w:t xml:space="preserve">and the </w:t>
      </w:r>
      <w:r w:rsidR="001D6C12" w:rsidRPr="005F38F6">
        <w:rPr>
          <w:rFonts w:ascii="Helvetica" w:eastAsia="Times New Roman" w:hAnsi="Helvetica" w:cs="Times New Roman"/>
          <w:color w:val="393A3D"/>
          <w:sz w:val="24"/>
          <w:szCs w:val="24"/>
        </w:rPr>
        <w:t>tax rates</w:t>
      </w:r>
      <w:r w:rsidR="003A1314" w:rsidRPr="005F38F6">
        <w:rPr>
          <w:rFonts w:ascii="Helvetica" w:eastAsia="Times New Roman" w:hAnsi="Helvetica" w:cs="Times New Roman"/>
          <w:color w:val="393A3D"/>
          <w:sz w:val="24"/>
          <w:szCs w:val="24"/>
        </w:rPr>
        <w:t xml:space="preserve"> remain the same</w:t>
      </w:r>
      <w:r w:rsidRPr="005F38F6">
        <w:rPr>
          <w:rFonts w:ascii="Helvetica" w:eastAsia="Times New Roman" w:hAnsi="Helvetica" w:cs="Times New Roman"/>
          <w:color w:val="393A3D"/>
          <w:sz w:val="24"/>
          <w:szCs w:val="24"/>
        </w:rPr>
        <w:t>. It also changes the income thresholds at which the rates apply.</w:t>
      </w:r>
    </w:p>
    <w:p w14:paraId="486AEA57" w14:textId="10B6669D" w:rsidR="00CA1D6C" w:rsidRPr="005F38F6" w:rsidRDefault="00CA1D6C" w:rsidP="00CA1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93A3D"/>
          <w:sz w:val="24"/>
          <w:szCs w:val="24"/>
        </w:rPr>
      </w:pPr>
      <w:r w:rsidRPr="005F38F6">
        <w:rPr>
          <w:rFonts w:ascii="Helvetica" w:eastAsia="Times New Roman" w:hAnsi="Helvetica" w:cs="Times New Roman"/>
          <w:color w:val="393A3D"/>
          <w:sz w:val="24"/>
          <w:szCs w:val="24"/>
        </w:rPr>
        <w:t xml:space="preserve">The current brackets are: </w:t>
      </w:r>
      <w:r w:rsidR="003A1314" w:rsidRPr="005F38F6">
        <w:rPr>
          <w:rFonts w:ascii="Helvetica" w:eastAsia="Times New Roman" w:hAnsi="Helvetica" w:cs="Times New Roman"/>
          <w:color w:val="393A3D"/>
          <w:sz w:val="24"/>
          <w:szCs w:val="24"/>
        </w:rPr>
        <w:t>10%, 12%, 22%, 24%, 32%, 35% and 37%</w:t>
      </w:r>
    </w:p>
    <w:p w14:paraId="48ACEFDC" w14:textId="77777777" w:rsidR="00CA1D6C" w:rsidRPr="005F38F6" w:rsidRDefault="00CA1D6C" w:rsidP="00CA1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93A3D"/>
          <w:sz w:val="24"/>
          <w:szCs w:val="24"/>
        </w:rPr>
      </w:pPr>
      <w:r w:rsidRPr="005F38F6">
        <w:rPr>
          <w:rFonts w:ascii="Helvetica" w:eastAsia="Times New Roman" w:hAnsi="Helvetica" w:cs="Times New Roman"/>
          <w:color w:val="393A3D"/>
          <w:sz w:val="24"/>
          <w:szCs w:val="24"/>
        </w:rPr>
        <w:t>The new brackets will be: 10%, 12%, 22%, 24%, 32%, 35% and 37%</w:t>
      </w:r>
    </w:p>
    <w:p w14:paraId="16522D21" w14:textId="150501C4" w:rsidR="00CA1D6C" w:rsidRPr="005F38F6" w:rsidRDefault="00CA1D6C" w:rsidP="00CA1D6C">
      <w:pPr>
        <w:pStyle w:val="Heading3"/>
        <w:shd w:val="clear" w:color="auto" w:fill="FFFFFF"/>
        <w:spacing w:before="300" w:beforeAutospacing="0" w:after="150" w:afterAutospacing="0" w:line="390" w:lineRule="atLeast"/>
        <w:rPr>
          <w:rFonts w:ascii="Helvetica" w:hAnsi="Helvetica"/>
          <w:color w:val="393A3D"/>
        </w:rPr>
      </w:pPr>
      <w:r w:rsidRPr="005F38F6">
        <w:rPr>
          <w:rFonts w:ascii="Helvetica" w:hAnsi="Helvetica"/>
          <w:color w:val="393A3D"/>
        </w:rPr>
        <w:t>Alternative Minimum Tax Exemptions Increased</w:t>
      </w:r>
    </w:p>
    <w:p w14:paraId="6999F758" w14:textId="41B282EE" w:rsidR="00CA1D6C" w:rsidRPr="005F38F6" w:rsidRDefault="00CA1D6C" w:rsidP="00CA1D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93A3D"/>
        </w:rPr>
      </w:pPr>
      <w:r w:rsidRPr="005F38F6">
        <w:rPr>
          <w:rFonts w:ascii="Helvetica" w:hAnsi="Helvetica"/>
          <w:color w:val="393A3D"/>
        </w:rPr>
        <w:t>The bill also eases the burden of the individual alternative minimum tax (AMT) by raising the income exempted from $</w:t>
      </w:r>
      <w:r w:rsidR="001D6C12" w:rsidRPr="005F38F6">
        <w:rPr>
          <w:rFonts w:ascii="Helvetica" w:hAnsi="Helvetica"/>
          <w:color w:val="393A3D"/>
        </w:rPr>
        <w:t>111,700</w:t>
      </w:r>
      <w:r w:rsidRPr="005F38F6">
        <w:rPr>
          <w:rFonts w:ascii="Helvetica" w:hAnsi="Helvetica"/>
          <w:color w:val="393A3D"/>
        </w:rPr>
        <w:t xml:space="preserve"> (adjusted for inflation) to $</w:t>
      </w:r>
      <w:r w:rsidR="001D6C12" w:rsidRPr="005F38F6">
        <w:rPr>
          <w:rFonts w:ascii="Helvetica" w:hAnsi="Helvetica"/>
          <w:color w:val="393A3D"/>
        </w:rPr>
        <w:t>113,400</w:t>
      </w:r>
      <w:r w:rsidRPr="005F38F6">
        <w:rPr>
          <w:rFonts w:ascii="Helvetica" w:hAnsi="Helvetica"/>
          <w:color w:val="393A3D"/>
        </w:rPr>
        <w:t xml:space="preserve"> married filing jointly and from $</w:t>
      </w:r>
      <w:r w:rsidR="00922880" w:rsidRPr="005F38F6">
        <w:rPr>
          <w:rFonts w:ascii="Helvetica" w:hAnsi="Helvetica"/>
          <w:color w:val="393A3D"/>
        </w:rPr>
        <w:t>71</w:t>
      </w:r>
      <w:r w:rsidRPr="005F38F6">
        <w:rPr>
          <w:rFonts w:ascii="Helvetica" w:hAnsi="Helvetica"/>
          <w:color w:val="393A3D"/>
        </w:rPr>
        <w:t>,</w:t>
      </w:r>
      <w:r w:rsidR="00922880" w:rsidRPr="005F38F6">
        <w:rPr>
          <w:rFonts w:ascii="Helvetica" w:hAnsi="Helvetica"/>
          <w:color w:val="393A3D"/>
        </w:rPr>
        <w:t>7</w:t>
      </w:r>
      <w:r w:rsidRPr="005F38F6">
        <w:rPr>
          <w:rFonts w:ascii="Helvetica" w:hAnsi="Helvetica"/>
          <w:color w:val="393A3D"/>
        </w:rPr>
        <w:t>00 (adjusted for inflation) to $7</w:t>
      </w:r>
      <w:r w:rsidR="00922880" w:rsidRPr="005F38F6">
        <w:rPr>
          <w:rFonts w:ascii="Helvetica" w:hAnsi="Helvetica"/>
          <w:color w:val="393A3D"/>
        </w:rPr>
        <w:t>2</w:t>
      </w:r>
      <w:r w:rsidRPr="005F38F6">
        <w:rPr>
          <w:rFonts w:ascii="Helvetica" w:hAnsi="Helvetica"/>
          <w:color w:val="393A3D"/>
        </w:rPr>
        <w:t>,</w:t>
      </w:r>
      <w:r w:rsidR="00922880" w:rsidRPr="005F38F6">
        <w:rPr>
          <w:rFonts w:ascii="Helvetica" w:hAnsi="Helvetica"/>
          <w:color w:val="393A3D"/>
        </w:rPr>
        <w:t>9</w:t>
      </w:r>
      <w:r w:rsidRPr="005F38F6">
        <w:rPr>
          <w:rFonts w:ascii="Helvetica" w:hAnsi="Helvetica"/>
          <w:color w:val="393A3D"/>
        </w:rPr>
        <w:t>00 for single taxpayers, so fewer taxpayers will pay it.</w:t>
      </w:r>
    </w:p>
    <w:p w14:paraId="52B2D930" w14:textId="77777777" w:rsidR="00CA1D6C" w:rsidRPr="005F38F6" w:rsidRDefault="00CA1D6C" w:rsidP="00CA1D6C">
      <w:pPr>
        <w:pStyle w:val="Heading3"/>
        <w:shd w:val="clear" w:color="auto" w:fill="FFFFFF"/>
        <w:spacing w:before="300" w:beforeAutospacing="0" w:after="150" w:afterAutospacing="0" w:line="390" w:lineRule="atLeast"/>
        <w:rPr>
          <w:rFonts w:ascii="Helvetica" w:hAnsi="Helvetica"/>
          <w:color w:val="393A3D"/>
        </w:rPr>
      </w:pPr>
      <w:bookmarkStart w:id="0" w:name="families"/>
      <w:bookmarkEnd w:id="0"/>
      <w:r w:rsidRPr="005F38F6">
        <w:rPr>
          <w:rFonts w:ascii="Helvetica" w:hAnsi="Helvetica"/>
          <w:color w:val="393A3D"/>
        </w:rPr>
        <w:t>Tax Relief for Individuals and Families</w:t>
      </w:r>
    </w:p>
    <w:p w14:paraId="3242E7B2" w14:textId="055E1CE2" w:rsidR="00CA1D6C" w:rsidRPr="005F38F6" w:rsidRDefault="00CA1D6C" w:rsidP="00CA1D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93A3D"/>
        </w:rPr>
      </w:pPr>
      <w:bookmarkStart w:id="1" w:name="standard"/>
      <w:bookmarkEnd w:id="1"/>
      <w:r w:rsidRPr="005F38F6">
        <w:rPr>
          <w:rStyle w:val="Strong"/>
          <w:rFonts w:ascii="Helvetica" w:hAnsi="Helvetica"/>
          <w:color w:val="393A3D"/>
        </w:rPr>
        <w:t>Increased standard deduction:</w:t>
      </w:r>
      <w:r w:rsidRPr="005F38F6">
        <w:rPr>
          <w:rFonts w:ascii="Helvetica" w:hAnsi="Helvetica"/>
          <w:color w:val="393A3D"/>
        </w:rPr>
        <w:br/>
        <w:t>Single taxpayers will see their standard deductions jump from $</w:t>
      </w:r>
      <w:r w:rsidR="00922880" w:rsidRPr="005F38F6">
        <w:rPr>
          <w:rFonts w:ascii="Helvetica" w:hAnsi="Helvetica"/>
          <w:color w:val="393A3D"/>
        </w:rPr>
        <w:t>12</w:t>
      </w:r>
      <w:r w:rsidRPr="005F38F6">
        <w:rPr>
          <w:rFonts w:ascii="Helvetica" w:hAnsi="Helvetica"/>
          <w:color w:val="393A3D"/>
        </w:rPr>
        <w:t>,</w:t>
      </w:r>
      <w:r w:rsidR="00922880" w:rsidRPr="005F38F6">
        <w:rPr>
          <w:rFonts w:ascii="Helvetica" w:hAnsi="Helvetica"/>
          <w:color w:val="393A3D"/>
        </w:rPr>
        <w:t>200</w:t>
      </w:r>
      <w:r w:rsidRPr="005F38F6">
        <w:rPr>
          <w:rFonts w:ascii="Helvetica" w:hAnsi="Helvetica"/>
          <w:color w:val="393A3D"/>
        </w:rPr>
        <w:t xml:space="preserve"> for 20</w:t>
      </w:r>
      <w:r w:rsidR="00922880" w:rsidRPr="005F38F6">
        <w:rPr>
          <w:rFonts w:ascii="Helvetica" w:hAnsi="Helvetica"/>
          <w:color w:val="393A3D"/>
        </w:rPr>
        <w:t>19</w:t>
      </w:r>
      <w:r w:rsidRPr="005F38F6">
        <w:rPr>
          <w:rFonts w:ascii="Helvetica" w:hAnsi="Helvetica"/>
          <w:color w:val="393A3D"/>
        </w:rPr>
        <w:t xml:space="preserve"> taxes to $1</w:t>
      </w:r>
      <w:r w:rsidR="00922880" w:rsidRPr="005F38F6">
        <w:rPr>
          <w:rFonts w:ascii="Helvetica" w:hAnsi="Helvetica"/>
          <w:color w:val="393A3D"/>
        </w:rPr>
        <w:t>2</w:t>
      </w:r>
      <w:r w:rsidRPr="005F38F6">
        <w:rPr>
          <w:rFonts w:ascii="Helvetica" w:hAnsi="Helvetica"/>
          <w:color w:val="393A3D"/>
        </w:rPr>
        <w:t>,</w:t>
      </w:r>
      <w:r w:rsidR="00922880" w:rsidRPr="005F38F6">
        <w:rPr>
          <w:rFonts w:ascii="Helvetica" w:hAnsi="Helvetica"/>
          <w:color w:val="393A3D"/>
        </w:rPr>
        <w:t>40</w:t>
      </w:r>
      <w:r w:rsidRPr="005F38F6">
        <w:rPr>
          <w:rFonts w:ascii="Helvetica" w:hAnsi="Helvetica"/>
          <w:color w:val="393A3D"/>
        </w:rPr>
        <w:t>0 for 20</w:t>
      </w:r>
      <w:r w:rsidR="00922880" w:rsidRPr="005F38F6">
        <w:rPr>
          <w:rFonts w:ascii="Helvetica" w:hAnsi="Helvetica"/>
          <w:color w:val="393A3D"/>
        </w:rPr>
        <w:t>20</w:t>
      </w:r>
      <w:r w:rsidRPr="005F38F6">
        <w:rPr>
          <w:rFonts w:ascii="Helvetica" w:hAnsi="Helvetica"/>
          <w:color w:val="393A3D"/>
        </w:rPr>
        <w:t xml:space="preserve"> taxes (the ones you file in 20</w:t>
      </w:r>
      <w:r w:rsidR="00922880" w:rsidRPr="005F38F6">
        <w:rPr>
          <w:rFonts w:ascii="Helvetica" w:hAnsi="Helvetica"/>
          <w:color w:val="393A3D"/>
        </w:rPr>
        <w:t>21</w:t>
      </w:r>
      <w:r w:rsidRPr="005F38F6">
        <w:rPr>
          <w:rFonts w:ascii="Helvetica" w:hAnsi="Helvetica"/>
          <w:color w:val="393A3D"/>
        </w:rPr>
        <w:t>).</w:t>
      </w:r>
    </w:p>
    <w:p w14:paraId="4BBF68A9" w14:textId="75F742B7" w:rsidR="00CA1D6C" w:rsidRPr="005F38F6" w:rsidRDefault="00CA1D6C" w:rsidP="00CA1D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93A3D"/>
        </w:rPr>
      </w:pPr>
      <w:r w:rsidRPr="005F38F6">
        <w:rPr>
          <w:rFonts w:ascii="Helvetica" w:hAnsi="Helvetica"/>
          <w:color w:val="393A3D"/>
        </w:rPr>
        <w:t xml:space="preserve">Married couples filing jointly </w:t>
      </w:r>
      <w:r w:rsidR="00A20D15" w:rsidRPr="005F38F6">
        <w:rPr>
          <w:rFonts w:ascii="Helvetica" w:hAnsi="Helvetica"/>
          <w:color w:val="393A3D"/>
        </w:rPr>
        <w:t xml:space="preserve">will see their standard deductions jump from </w:t>
      </w:r>
      <w:r w:rsidRPr="005F38F6">
        <w:rPr>
          <w:rFonts w:ascii="Helvetica" w:hAnsi="Helvetica"/>
          <w:color w:val="393A3D"/>
        </w:rPr>
        <w:t>$</w:t>
      </w:r>
      <w:r w:rsidR="00922880" w:rsidRPr="005F38F6">
        <w:rPr>
          <w:rFonts w:ascii="Helvetica" w:hAnsi="Helvetica"/>
          <w:color w:val="393A3D"/>
        </w:rPr>
        <w:t>24</w:t>
      </w:r>
      <w:r w:rsidRPr="005F38F6">
        <w:rPr>
          <w:rFonts w:ascii="Helvetica" w:hAnsi="Helvetica"/>
          <w:color w:val="393A3D"/>
        </w:rPr>
        <w:t>,</w:t>
      </w:r>
      <w:r w:rsidR="00922880" w:rsidRPr="005F38F6">
        <w:rPr>
          <w:rFonts w:ascii="Helvetica" w:hAnsi="Helvetica"/>
          <w:color w:val="393A3D"/>
        </w:rPr>
        <w:t>4</w:t>
      </w:r>
      <w:r w:rsidRPr="005F38F6">
        <w:rPr>
          <w:rFonts w:ascii="Helvetica" w:hAnsi="Helvetica"/>
          <w:color w:val="393A3D"/>
        </w:rPr>
        <w:t>00</w:t>
      </w:r>
      <w:r w:rsidR="00A20D15" w:rsidRPr="005F38F6">
        <w:rPr>
          <w:rFonts w:ascii="Helvetica" w:hAnsi="Helvetica"/>
          <w:color w:val="393A3D"/>
        </w:rPr>
        <w:t xml:space="preserve"> for 2019 taxes</w:t>
      </w:r>
      <w:r w:rsidRPr="005F38F6">
        <w:rPr>
          <w:rFonts w:ascii="Helvetica" w:hAnsi="Helvetica"/>
          <w:color w:val="393A3D"/>
        </w:rPr>
        <w:t xml:space="preserve"> to $24,</w:t>
      </w:r>
      <w:r w:rsidR="00922880" w:rsidRPr="005F38F6">
        <w:rPr>
          <w:rFonts w:ascii="Helvetica" w:hAnsi="Helvetica"/>
          <w:color w:val="393A3D"/>
        </w:rPr>
        <w:t>8</w:t>
      </w:r>
      <w:r w:rsidRPr="005F38F6">
        <w:rPr>
          <w:rFonts w:ascii="Helvetica" w:hAnsi="Helvetica"/>
          <w:color w:val="393A3D"/>
        </w:rPr>
        <w:t>00</w:t>
      </w:r>
      <w:r w:rsidR="00A20D15" w:rsidRPr="005F38F6">
        <w:rPr>
          <w:rFonts w:ascii="Helvetica" w:hAnsi="Helvetica"/>
          <w:color w:val="393A3D"/>
        </w:rPr>
        <w:t xml:space="preserve"> for 2020 taxes</w:t>
      </w:r>
      <w:r w:rsidRPr="005F38F6">
        <w:rPr>
          <w:rFonts w:ascii="Helvetica" w:hAnsi="Helvetica"/>
          <w:color w:val="393A3D"/>
        </w:rPr>
        <w:t xml:space="preserve">. </w:t>
      </w:r>
      <w:r w:rsidR="00A20D15" w:rsidRPr="005F38F6">
        <w:rPr>
          <w:rFonts w:ascii="Helvetica" w:hAnsi="Helvetica"/>
          <w:color w:val="393A3D"/>
        </w:rPr>
        <w:t>(the ones you file in 2021).</w:t>
      </w:r>
    </w:p>
    <w:p w14:paraId="62A3EEC5" w14:textId="05D36882" w:rsidR="00A20D15" w:rsidRPr="005F38F6" w:rsidRDefault="00A20D15" w:rsidP="00A20D1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93A3D"/>
        </w:rPr>
      </w:pPr>
      <w:r w:rsidRPr="005F38F6">
        <w:rPr>
          <w:rFonts w:ascii="Helvetica" w:hAnsi="Helvetica"/>
          <w:color w:val="393A3D"/>
        </w:rPr>
        <w:t>Taxpayers filing as heads of households will see their standard deductions jump from $18,350 for 2019 taxes to $18,650 for 2020 taxes (the ones you file in 2021).</w:t>
      </w:r>
    </w:p>
    <w:p w14:paraId="091F02CD" w14:textId="77777777" w:rsidR="00CA1D6C" w:rsidRPr="005F38F6" w:rsidRDefault="00CA1D6C" w:rsidP="00CA1D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93A3D"/>
        </w:rPr>
      </w:pPr>
      <w:r w:rsidRPr="005F38F6">
        <w:rPr>
          <w:rStyle w:val="Strong"/>
          <w:rFonts w:ascii="Helvetica" w:hAnsi="Helvetica"/>
          <w:color w:val="393A3D"/>
        </w:rPr>
        <w:t>Increased Child Tax Credit:</w:t>
      </w:r>
    </w:p>
    <w:p w14:paraId="05BB1911" w14:textId="210B07AF" w:rsidR="00CA1D6C" w:rsidRPr="005F38F6" w:rsidRDefault="00CA1D6C" w:rsidP="00CA1D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93A3D"/>
        </w:rPr>
      </w:pPr>
      <w:r w:rsidRPr="005F38F6">
        <w:rPr>
          <w:rFonts w:ascii="Helvetica" w:hAnsi="Helvetica"/>
          <w:color w:val="393A3D"/>
        </w:rPr>
        <w:t xml:space="preserve">For, families with </w:t>
      </w:r>
      <w:r w:rsidR="002A1AF7" w:rsidRPr="005F38F6">
        <w:rPr>
          <w:rFonts w:ascii="Helvetica" w:hAnsi="Helvetica"/>
          <w:color w:val="393A3D"/>
        </w:rPr>
        <w:t xml:space="preserve">qualified </w:t>
      </w:r>
      <w:r w:rsidRPr="005F38F6">
        <w:rPr>
          <w:rFonts w:ascii="Helvetica" w:hAnsi="Helvetica"/>
          <w:color w:val="393A3D"/>
        </w:rPr>
        <w:t xml:space="preserve">children </w:t>
      </w:r>
      <w:r w:rsidR="002A1AF7" w:rsidRPr="005F38F6">
        <w:rPr>
          <w:rFonts w:ascii="Helvetica" w:hAnsi="Helvetica"/>
          <w:color w:val="393A3D"/>
        </w:rPr>
        <w:t>under the age of 17, the</w:t>
      </w:r>
      <w:r w:rsidRPr="005F38F6">
        <w:rPr>
          <w:rFonts w:ascii="Helvetica" w:hAnsi="Helvetica"/>
          <w:color w:val="393A3D"/>
        </w:rPr>
        <w:t> Child Tax Credit</w:t>
      </w:r>
      <w:r w:rsidR="002A1AF7" w:rsidRPr="005F38F6">
        <w:rPr>
          <w:rFonts w:ascii="Helvetica" w:hAnsi="Helvetica"/>
          <w:color w:val="393A3D"/>
        </w:rPr>
        <w:t xml:space="preserve"> remains at</w:t>
      </w:r>
      <w:r w:rsidRPr="005F38F6">
        <w:rPr>
          <w:rFonts w:ascii="Helvetica" w:hAnsi="Helvetica"/>
          <w:color w:val="393A3D"/>
        </w:rPr>
        <w:t xml:space="preserve"> $2,000</w:t>
      </w:r>
      <w:r w:rsidR="002A1AF7" w:rsidRPr="005F38F6">
        <w:rPr>
          <w:rFonts w:ascii="Helvetica" w:hAnsi="Helvetica"/>
          <w:color w:val="393A3D"/>
        </w:rPr>
        <w:t xml:space="preserve"> per child</w:t>
      </w:r>
      <w:r w:rsidRPr="005F38F6">
        <w:rPr>
          <w:rFonts w:ascii="Helvetica" w:hAnsi="Helvetica"/>
          <w:color w:val="393A3D"/>
        </w:rPr>
        <w:t xml:space="preserve">. In addition, the amount that is refundable </w:t>
      </w:r>
      <w:r w:rsidR="002A1AF7" w:rsidRPr="005F38F6">
        <w:rPr>
          <w:rFonts w:ascii="Helvetica" w:hAnsi="Helvetica"/>
          <w:color w:val="393A3D"/>
        </w:rPr>
        <w:t>remains at</w:t>
      </w:r>
      <w:r w:rsidRPr="005F38F6">
        <w:rPr>
          <w:rFonts w:ascii="Helvetica" w:hAnsi="Helvetica"/>
          <w:color w:val="393A3D"/>
        </w:rPr>
        <w:t xml:space="preserve"> $1,400. </w:t>
      </w:r>
      <w:r w:rsidR="002A1AF7" w:rsidRPr="005F38F6">
        <w:rPr>
          <w:rFonts w:ascii="Helvetica" w:hAnsi="Helvetica"/>
          <w:color w:val="393A3D"/>
        </w:rPr>
        <w:t xml:space="preserve">The </w:t>
      </w:r>
      <w:r w:rsidRPr="005F38F6">
        <w:rPr>
          <w:rFonts w:ascii="Helvetica" w:hAnsi="Helvetica"/>
          <w:color w:val="393A3D"/>
        </w:rPr>
        <w:t>non-refundable credit</w:t>
      </w:r>
      <w:r w:rsidR="002A1AF7" w:rsidRPr="005F38F6">
        <w:rPr>
          <w:rFonts w:ascii="Helvetica" w:hAnsi="Helvetica"/>
          <w:color w:val="393A3D"/>
        </w:rPr>
        <w:t xml:space="preserve"> for dependents other than children</w:t>
      </w:r>
      <w:r w:rsidRPr="005F38F6">
        <w:rPr>
          <w:rFonts w:ascii="Helvetica" w:hAnsi="Helvetica"/>
          <w:color w:val="393A3D"/>
        </w:rPr>
        <w:t xml:space="preserve"> </w:t>
      </w:r>
      <w:r w:rsidR="002A1AF7" w:rsidRPr="005F38F6">
        <w:rPr>
          <w:rFonts w:ascii="Helvetica" w:hAnsi="Helvetica"/>
          <w:color w:val="393A3D"/>
        </w:rPr>
        <w:t>remains at</w:t>
      </w:r>
      <w:r w:rsidRPr="005F38F6">
        <w:rPr>
          <w:rFonts w:ascii="Helvetica" w:hAnsi="Helvetica"/>
          <w:color w:val="393A3D"/>
        </w:rPr>
        <w:t xml:space="preserve"> $500</w:t>
      </w:r>
      <w:r w:rsidR="002A1AF7" w:rsidRPr="005F38F6">
        <w:rPr>
          <w:rFonts w:ascii="Helvetica" w:hAnsi="Helvetica"/>
          <w:color w:val="393A3D"/>
        </w:rPr>
        <w:t xml:space="preserve"> for 2020.</w:t>
      </w:r>
      <w:r w:rsidRPr="005F38F6">
        <w:rPr>
          <w:rFonts w:ascii="Helvetica" w:hAnsi="Helvetica"/>
          <w:color w:val="393A3D"/>
        </w:rPr>
        <w:t xml:space="preserve"> </w:t>
      </w:r>
      <w:r w:rsidR="002A1AF7" w:rsidRPr="005F38F6">
        <w:rPr>
          <w:rFonts w:ascii="Helvetica" w:hAnsi="Helvetica"/>
          <w:color w:val="393A3D"/>
        </w:rPr>
        <w:t>T</w:t>
      </w:r>
      <w:r w:rsidRPr="005F38F6">
        <w:rPr>
          <w:rFonts w:ascii="Helvetica" w:hAnsi="Helvetica"/>
          <w:color w:val="393A3D"/>
        </w:rPr>
        <w:t xml:space="preserve">he income threshold at which these benefits phase out for a married couple </w:t>
      </w:r>
      <w:r w:rsidR="002A1AF7" w:rsidRPr="005F38F6">
        <w:rPr>
          <w:rFonts w:ascii="Helvetica" w:hAnsi="Helvetica"/>
          <w:color w:val="393A3D"/>
        </w:rPr>
        <w:t>remains at</w:t>
      </w:r>
      <w:r w:rsidRPr="005F38F6">
        <w:rPr>
          <w:rFonts w:ascii="Helvetica" w:hAnsi="Helvetica"/>
          <w:color w:val="393A3D"/>
        </w:rPr>
        <w:t xml:space="preserve"> $400,000.</w:t>
      </w:r>
    </w:p>
    <w:p w14:paraId="6A321335" w14:textId="7A552843" w:rsidR="00DD0FCF" w:rsidRPr="005F38F6" w:rsidRDefault="00DD0FCF" w:rsidP="00CA1D6C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/>
          <w:color w:val="393A3D"/>
        </w:rPr>
      </w:pPr>
      <w:bookmarkStart w:id="2" w:name="health"/>
      <w:bookmarkEnd w:id="2"/>
      <w:r w:rsidRPr="005F38F6">
        <w:rPr>
          <w:rStyle w:val="Strong"/>
          <w:rFonts w:ascii="Helvetica" w:hAnsi="Helvetica"/>
          <w:color w:val="393A3D"/>
        </w:rPr>
        <w:t>Lifetime Learning Credit</w:t>
      </w:r>
    </w:p>
    <w:p w14:paraId="291ECCCA" w14:textId="280DA338" w:rsidR="00DD0FCF" w:rsidRPr="00DD0FCF" w:rsidRDefault="00DD0FCF" w:rsidP="00DD0F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93A3D"/>
        </w:rPr>
      </w:pPr>
      <w:r w:rsidRPr="005F38F6">
        <w:rPr>
          <w:rFonts w:ascii="Helvetica" w:hAnsi="Helvetica"/>
          <w:color w:val="393A3D"/>
        </w:rPr>
        <w:t>For tax year 2020, the adjusted gross income amount used by joint filers to determine the reduction in the Lifetime Learning Credit is $118,000, up from $116,000 for tax year 2019.</w:t>
      </w:r>
    </w:p>
    <w:p w14:paraId="7799BAC6" w14:textId="37542114" w:rsidR="00CD4F18" w:rsidRPr="00CD4F18" w:rsidRDefault="00CD4F18" w:rsidP="00DD0FCF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/>
          <w:color w:val="393A3D"/>
        </w:rPr>
      </w:pPr>
      <w:r w:rsidRPr="00CD4F18">
        <w:rPr>
          <w:rStyle w:val="Strong"/>
          <w:rFonts w:ascii="Helvetica" w:hAnsi="Helvetica"/>
          <w:color w:val="393A3D"/>
        </w:rPr>
        <w:t>Estate Tax Exclusion Increase</w:t>
      </w:r>
    </w:p>
    <w:p w14:paraId="7BE6349E" w14:textId="6C439436" w:rsidR="00CD4F18" w:rsidRPr="00CD4F18" w:rsidRDefault="00CD4F18" w:rsidP="00DD0FCF">
      <w:pPr>
        <w:pStyle w:val="NormalWeb"/>
        <w:shd w:val="clear" w:color="auto" w:fill="FFFFFF"/>
        <w:spacing w:before="0" w:beforeAutospacing="0" w:after="150" w:afterAutospacing="0"/>
        <w:rPr>
          <w:b/>
          <w:bCs/>
        </w:rPr>
      </w:pPr>
      <w:r w:rsidRPr="00CD4F18">
        <w:rPr>
          <w:rFonts w:ascii="Helvetica" w:hAnsi="Helvetica"/>
          <w:color w:val="393A3D"/>
        </w:rPr>
        <w:t>Estates of decedents who die during 2020 have a basic exclusion amount of $11,580,000, up from a total of $11,400,000 for estates of decedents who died in 2019.</w:t>
      </w:r>
    </w:p>
    <w:p w14:paraId="1F9EFE41" w14:textId="186BD565" w:rsidR="00DD0FCF" w:rsidRPr="005F38F6" w:rsidRDefault="00DD0FCF" w:rsidP="00DD0FCF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/>
          <w:color w:val="393A3D"/>
        </w:rPr>
      </w:pPr>
      <w:r w:rsidRPr="005F38F6">
        <w:rPr>
          <w:rStyle w:val="Strong"/>
          <w:rFonts w:ascii="Helvetica" w:hAnsi="Helvetica"/>
          <w:color w:val="393A3D"/>
        </w:rPr>
        <w:lastRenderedPageBreak/>
        <w:t xml:space="preserve">Gift Tax Exclusion </w:t>
      </w:r>
    </w:p>
    <w:p w14:paraId="1DA33993" w14:textId="50B089B0" w:rsidR="00DD0FCF" w:rsidRPr="00DD0FCF" w:rsidRDefault="00DD0FCF" w:rsidP="00DD0FC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93A3D"/>
        </w:rPr>
      </w:pPr>
      <w:r w:rsidRPr="00DD0FCF">
        <w:rPr>
          <w:rFonts w:ascii="Helvetica" w:hAnsi="Helvetica"/>
          <w:color w:val="393A3D"/>
        </w:rPr>
        <w:t>The annual exclusion for gifts is $15,000 for calendar year 2020, as it was for calendar year 2019.</w:t>
      </w:r>
    </w:p>
    <w:p w14:paraId="5E73601C" w14:textId="77777777" w:rsidR="00DD0FCF" w:rsidRPr="005F38F6" w:rsidRDefault="00DD0FCF" w:rsidP="00CA1D6C">
      <w:pPr>
        <w:pStyle w:val="NormalWeb"/>
        <w:shd w:val="clear" w:color="auto" w:fill="FFFFFF"/>
        <w:spacing w:before="0" w:beforeAutospacing="0" w:after="150" w:afterAutospacing="0"/>
        <w:rPr>
          <w:b/>
          <w:bCs/>
        </w:rPr>
      </w:pPr>
    </w:p>
    <w:p w14:paraId="08582488" w14:textId="10F5C5F1" w:rsidR="00CA1D6C" w:rsidRPr="005F38F6" w:rsidRDefault="00CA1D6C" w:rsidP="00CA1D6C">
      <w:pPr>
        <w:pStyle w:val="Heading3"/>
        <w:shd w:val="clear" w:color="auto" w:fill="FFFFFF"/>
        <w:spacing w:before="300" w:beforeAutospacing="0" w:after="150" w:afterAutospacing="0" w:line="390" w:lineRule="atLeast"/>
        <w:rPr>
          <w:rFonts w:ascii="Helvetica" w:hAnsi="Helvetica"/>
          <w:color w:val="393A3D"/>
        </w:rPr>
      </w:pPr>
      <w:bookmarkStart w:id="3" w:name="businesses"/>
      <w:bookmarkEnd w:id="3"/>
      <w:r w:rsidRPr="005F38F6">
        <w:rPr>
          <w:rFonts w:ascii="Helvetica" w:hAnsi="Helvetica"/>
          <w:color w:val="393A3D"/>
        </w:rPr>
        <w:t>Self-employed (contractors, freelancers, sole proprietors) and small businesses</w:t>
      </w:r>
      <w:r w:rsidR="00DD0FCF" w:rsidRPr="005F38F6">
        <w:rPr>
          <w:rFonts w:ascii="Helvetica" w:hAnsi="Helvetica"/>
          <w:color w:val="393A3D"/>
        </w:rPr>
        <w:t xml:space="preserve"> remain the same</w:t>
      </w:r>
      <w:r w:rsidRPr="005F38F6">
        <w:rPr>
          <w:rFonts w:ascii="Helvetica" w:hAnsi="Helvetica"/>
          <w:color w:val="393A3D"/>
        </w:rPr>
        <w:t>:</w:t>
      </w:r>
    </w:p>
    <w:p w14:paraId="387E18B3" w14:textId="1A705FC6" w:rsidR="00CA1D6C" w:rsidRDefault="00DD0FCF" w:rsidP="00CA1D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93A3D"/>
        </w:rPr>
      </w:pPr>
      <w:r w:rsidRPr="005F38F6">
        <w:rPr>
          <w:rFonts w:ascii="Helvetica" w:hAnsi="Helvetica"/>
          <w:color w:val="393A3D"/>
        </w:rPr>
        <w:t xml:space="preserve">A </w:t>
      </w:r>
      <w:r w:rsidR="00CA1D6C" w:rsidRPr="005F38F6">
        <w:rPr>
          <w:rFonts w:ascii="Helvetica" w:hAnsi="Helvetica"/>
          <w:color w:val="393A3D"/>
        </w:rPr>
        <w:t xml:space="preserve">20% deduction for incomes from certain type of “pass-through” entities (partnerships, S Corps, sole proprietorships), limits on expensing of interest from borrowing, </w:t>
      </w:r>
      <w:r w:rsidRPr="005F38F6">
        <w:rPr>
          <w:rFonts w:ascii="Helvetica" w:hAnsi="Helvetica"/>
          <w:color w:val="393A3D"/>
        </w:rPr>
        <w:t xml:space="preserve">small business can expense </w:t>
      </w:r>
      <w:r w:rsidR="00CA1D6C" w:rsidRPr="005F38F6">
        <w:rPr>
          <w:rFonts w:ascii="Helvetica" w:hAnsi="Helvetica"/>
          <w:color w:val="393A3D"/>
        </w:rPr>
        <w:t>Section 179 amount of $1,000,000, and eliminate</w:t>
      </w:r>
      <w:r w:rsidRPr="005F38F6">
        <w:rPr>
          <w:rFonts w:ascii="Helvetica" w:hAnsi="Helvetica"/>
          <w:color w:val="393A3D"/>
        </w:rPr>
        <w:t>d</w:t>
      </w:r>
      <w:r w:rsidR="00CA1D6C" w:rsidRPr="005F38F6">
        <w:rPr>
          <w:rFonts w:ascii="Helvetica" w:hAnsi="Helvetica"/>
          <w:color w:val="393A3D"/>
        </w:rPr>
        <w:t xml:space="preserve"> the corporate alternative minimum tax (AMT).</w:t>
      </w:r>
    </w:p>
    <w:p w14:paraId="66D304AD" w14:textId="77777777" w:rsidR="00CA1D6C" w:rsidRPr="00CA1D6C" w:rsidRDefault="00CA1D6C" w:rsidP="00CA1D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A1D6C" w:rsidRPr="00CA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2308"/>
    <w:multiLevelType w:val="multilevel"/>
    <w:tmpl w:val="5F36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44E09"/>
    <w:multiLevelType w:val="multilevel"/>
    <w:tmpl w:val="E11E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6C"/>
    <w:rsid w:val="000E5244"/>
    <w:rsid w:val="001D6C12"/>
    <w:rsid w:val="00210387"/>
    <w:rsid w:val="002132D7"/>
    <w:rsid w:val="002A1AF7"/>
    <w:rsid w:val="003A1314"/>
    <w:rsid w:val="005F38F6"/>
    <w:rsid w:val="007565FF"/>
    <w:rsid w:val="00922880"/>
    <w:rsid w:val="00A20D15"/>
    <w:rsid w:val="00CA1D6C"/>
    <w:rsid w:val="00CD4F18"/>
    <w:rsid w:val="00D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1783"/>
  <w15:chartTrackingRefBased/>
  <w15:docId w15:val="{B8449A6A-9B81-4227-8A52-F3459E5C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1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D6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A1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A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1D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Barr</dc:creator>
  <cp:keywords/>
  <dc:description/>
  <cp:lastModifiedBy>Eric Kubeja</cp:lastModifiedBy>
  <cp:revision>5</cp:revision>
  <dcterms:created xsi:type="dcterms:W3CDTF">2018-12-17T18:19:00Z</dcterms:created>
  <dcterms:modified xsi:type="dcterms:W3CDTF">2020-12-09T16:41:00Z</dcterms:modified>
</cp:coreProperties>
</file>